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F2" w:rsidRPr="00E45A44" w:rsidRDefault="007E7297" w:rsidP="00C54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Biomechanics and principles of assessment of pediatric foot deformities</w:t>
      </w:r>
    </w:p>
    <w:p w:rsidR="005504E9" w:rsidRPr="00E45A44" w:rsidRDefault="005504E9" w:rsidP="00C547B6">
      <w:pPr>
        <w:jc w:val="center"/>
      </w:pPr>
    </w:p>
    <w:p w:rsidR="007E7297" w:rsidRDefault="00C547B6" w:rsidP="00C547B6">
      <w:pPr>
        <w:jc w:val="center"/>
      </w:pPr>
      <w:r w:rsidRPr="00E45A44">
        <w:t>Guest Speaker</w:t>
      </w:r>
      <w:r w:rsidR="005504E9" w:rsidRPr="00E45A44">
        <w:t xml:space="preserve">, </w:t>
      </w:r>
      <w:r w:rsidR="007E7297">
        <w:t>34</w:t>
      </w:r>
      <w:r w:rsidR="007E7297" w:rsidRPr="007E7297">
        <w:rPr>
          <w:vertAlign w:val="superscript"/>
        </w:rPr>
        <w:t>th</w:t>
      </w:r>
      <w:r w:rsidR="007E7297" w:rsidRPr="007E7297">
        <w:t xml:space="preserve"> Annual Hawaii Combined Orthopedic Spring Symposium</w:t>
      </w:r>
      <w:r w:rsidR="00F96BF2" w:rsidRPr="00E45A44">
        <w:t xml:space="preserve"> </w:t>
      </w:r>
    </w:p>
    <w:p w:rsidR="00F96BF2" w:rsidRPr="00E45A44" w:rsidRDefault="007E7297" w:rsidP="00C547B6">
      <w:pPr>
        <w:jc w:val="center"/>
      </w:pPr>
      <w:r>
        <w:t xml:space="preserve">Honolulu, HI </w:t>
      </w:r>
      <w:r>
        <w:tab/>
        <w:t xml:space="preserve">April 13, </w:t>
      </w:r>
      <w:r w:rsidR="00D21BA6">
        <w:t>2</w:t>
      </w:r>
      <w:r w:rsidR="005504E9" w:rsidRPr="00E45A44">
        <w:t>019</w:t>
      </w:r>
    </w:p>
    <w:p w:rsidR="00F96BF2" w:rsidRPr="00E45A44" w:rsidRDefault="00F96BF2" w:rsidP="00C547B6">
      <w:pPr>
        <w:jc w:val="center"/>
      </w:pPr>
    </w:p>
    <w:p w:rsidR="00F96BF2" w:rsidRPr="00E45A44" w:rsidRDefault="00F96BF2" w:rsidP="00C547B6">
      <w:pPr>
        <w:jc w:val="center"/>
        <w:rPr>
          <w:b/>
          <w:sz w:val="20"/>
          <w:szCs w:val="20"/>
        </w:rPr>
      </w:pPr>
      <w:r w:rsidRPr="00E45A44">
        <w:rPr>
          <w:b/>
          <w:sz w:val="20"/>
          <w:szCs w:val="20"/>
        </w:rPr>
        <w:t>Vincent S. Mosca, M.D.</w:t>
      </w:r>
    </w:p>
    <w:p w:rsidR="008255B4" w:rsidRPr="00E45A44" w:rsidRDefault="008255B4" w:rsidP="00C547B6">
      <w:pPr>
        <w:jc w:val="center"/>
        <w:rPr>
          <w:sz w:val="20"/>
          <w:szCs w:val="20"/>
        </w:rPr>
      </w:pPr>
      <w:r w:rsidRPr="00E45A44">
        <w:rPr>
          <w:sz w:val="20"/>
          <w:szCs w:val="20"/>
        </w:rPr>
        <w:t xml:space="preserve">Professor of Orthopedics, </w:t>
      </w:r>
      <w:smartTag w:uri="urn:schemas-microsoft-com:office:smarttags" w:element="PlaceType">
        <w:r w:rsidRPr="00E45A44">
          <w:rPr>
            <w:sz w:val="20"/>
            <w:szCs w:val="20"/>
          </w:rPr>
          <w:t>University</w:t>
        </w:r>
      </w:smartTag>
      <w:r w:rsidRPr="00E45A44">
        <w:rPr>
          <w:sz w:val="20"/>
          <w:szCs w:val="20"/>
        </w:rPr>
        <w:t xml:space="preserve"> of </w:t>
      </w:r>
      <w:smartTag w:uri="urn:schemas-microsoft-com:office:smarttags" w:element="PlaceName">
        <w:r w:rsidRPr="00E45A44">
          <w:rPr>
            <w:sz w:val="20"/>
            <w:szCs w:val="20"/>
          </w:rPr>
          <w:t>Washington</w:t>
        </w:r>
      </w:smartTag>
      <w:r w:rsidRPr="00E45A44">
        <w:rPr>
          <w:sz w:val="20"/>
          <w:szCs w:val="20"/>
        </w:rPr>
        <w:t xml:space="preserve"> </w:t>
      </w:r>
      <w:smartTag w:uri="urn:schemas-microsoft-com:office:smarttags" w:element="PlaceType">
        <w:r w:rsidRPr="00E45A44">
          <w:rPr>
            <w:sz w:val="20"/>
            <w:szCs w:val="20"/>
          </w:rPr>
          <w:t>School</w:t>
        </w:r>
      </w:smartTag>
      <w:r w:rsidRPr="00E45A44">
        <w:rPr>
          <w:sz w:val="20"/>
          <w:szCs w:val="20"/>
        </w:rPr>
        <w:t xml:space="preserve"> of </w:t>
      </w:r>
      <w:smartTag w:uri="urn:schemas-microsoft-com:office:smarttags" w:element="PlaceName">
        <w:r w:rsidRPr="00E45A44">
          <w:rPr>
            <w:sz w:val="20"/>
            <w:szCs w:val="20"/>
          </w:rPr>
          <w:t>Medicine</w:t>
        </w:r>
      </w:smartTag>
      <w:r w:rsidRPr="00E45A44">
        <w:rPr>
          <w:sz w:val="20"/>
          <w:szCs w:val="20"/>
        </w:rPr>
        <w:t>,</w:t>
      </w:r>
    </w:p>
    <w:p w:rsidR="00F96BF2" w:rsidRPr="00E45A44" w:rsidRDefault="00C547B6" w:rsidP="00C547B6">
      <w:pPr>
        <w:jc w:val="center"/>
        <w:rPr>
          <w:sz w:val="20"/>
          <w:szCs w:val="20"/>
        </w:rPr>
      </w:pPr>
      <w:r w:rsidRPr="00E45A44">
        <w:rPr>
          <w:sz w:val="20"/>
          <w:szCs w:val="20"/>
        </w:rPr>
        <w:t>Pediatric Orthopedic Surgeon</w:t>
      </w:r>
      <w:r w:rsidR="008255B4" w:rsidRPr="00E45A44">
        <w:rPr>
          <w:sz w:val="20"/>
          <w:szCs w:val="20"/>
        </w:rPr>
        <w:t>, Seattle</w:t>
      </w:r>
      <w:r w:rsidRPr="00E45A44">
        <w:rPr>
          <w:sz w:val="20"/>
          <w:szCs w:val="20"/>
        </w:rPr>
        <w:t xml:space="preserve"> Children's Hospital,</w:t>
      </w:r>
      <w:r w:rsidR="008255B4" w:rsidRPr="00E45A44">
        <w:rPr>
          <w:sz w:val="20"/>
          <w:szCs w:val="20"/>
        </w:rPr>
        <w:t xml:space="preserve"> </w:t>
      </w:r>
      <w:r w:rsidR="00F96BF2" w:rsidRPr="00E45A44">
        <w:rPr>
          <w:sz w:val="20"/>
          <w:szCs w:val="20"/>
        </w:rPr>
        <w:t>Seattle, WA</w:t>
      </w:r>
    </w:p>
    <w:p w:rsidR="00F96BF2" w:rsidRPr="00E45A44" w:rsidRDefault="00F96BF2" w:rsidP="00C547B6">
      <w:pPr>
        <w:jc w:val="center"/>
      </w:pPr>
    </w:p>
    <w:p w:rsidR="005504E9" w:rsidRPr="00E45A44" w:rsidRDefault="005504E9" w:rsidP="00C547B6">
      <w:pPr>
        <w:jc w:val="center"/>
      </w:pPr>
    </w:p>
    <w:p w:rsidR="007E7297" w:rsidRPr="007E7297" w:rsidRDefault="007E7297" w:rsidP="005D059A">
      <w:pPr>
        <w:spacing w:line="360" w:lineRule="auto"/>
        <w:ind w:left="720" w:hanging="720"/>
      </w:pPr>
      <w:r w:rsidRPr="0074106D">
        <w:rPr>
          <w:u w:val="single"/>
        </w:rPr>
        <w:t>Biomechanics #1</w:t>
      </w:r>
      <w:r w:rsidR="005D059A">
        <w:t xml:space="preserve">: </w:t>
      </w:r>
      <w:r w:rsidR="005D059A">
        <w:tab/>
        <w:t xml:space="preserve">“The foot is not a joint!” </w:t>
      </w:r>
      <w:r w:rsidRPr="007E7297">
        <w:t>In all congenital and developmental deformities of the child’s foot, there are at least 2 segmental deformities that are often in rotationally opposite directions from each other, “as if the foot was wrung out”</w:t>
      </w:r>
    </w:p>
    <w:p w:rsidR="009C5C5D" w:rsidRDefault="007E7297" w:rsidP="0074106D">
      <w:pPr>
        <w:spacing w:line="360" w:lineRule="auto"/>
        <w:ind w:left="720" w:hanging="720"/>
      </w:pPr>
      <w:r w:rsidRPr="0074106D">
        <w:rPr>
          <w:u w:val="single"/>
        </w:rPr>
        <w:t>Biomechanics #2</w:t>
      </w:r>
      <w:r w:rsidR="005D059A">
        <w:t xml:space="preserve">: </w:t>
      </w:r>
      <w:r w:rsidR="005D059A">
        <w:tab/>
      </w:r>
      <w:r w:rsidRPr="007E7297">
        <w:t>One must understand subtalar joint positions and motions in a manner that supersedes the confusing and inconsistent terminology in the literature.</w:t>
      </w:r>
    </w:p>
    <w:p w:rsidR="007E7297" w:rsidRDefault="005D059A" w:rsidP="0074106D">
      <w:pPr>
        <w:spacing w:line="360" w:lineRule="auto"/>
        <w:ind w:left="720" w:hanging="720"/>
      </w:pPr>
      <w:r w:rsidRPr="0074106D">
        <w:rPr>
          <w:u w:val="single"/>
        </w:rPr>
        <w:t>Biomechanics #3</w:t>
      </w:r>
      <w:r>
        <w:t xml:space="preserve">: </w:t>
      </w:r>
      <w:r w:rsidRPr="005D059A">
        <w:tab/>
        <w:t>The concept of the acetabulum pedis.</w:t>
      </w:r>
      <w:r w:rsidR="0074106D">
        <w:t xml:space="preserve"> Understand the similarities between the hip joint and the subtalar joint.</w:t>
      </w:r>
    </w:p>
    <w:p w:rsidR="005D059A" w:rsidRDefault="005D059A" w:rsidP="005D059A">
      <w:pPr>
        <w:spacing w:line="360" w:lineRule="auto"/>
        <w:ind w:left="720" w:hanging="720"/>
      </w:pPr>
      <w:r w:rsidRPr="0074106D">
        <w:rPr>
          <w:u w:val="single"/>
        </w:rPr>
        <w:t>Biomechanics #4</w:t>
      </w:r>
      <w:r>
        <w:t>:</w:t>
      </w:r>
      <w:r>
        <w:tab/>
      </w:r>
      <w:r w:rsidRPr="005D059A">
        <w:t>Deformity correction will not correct muscle imbalances.</w:t>
      </w:r>
      <w:r>
        <w:t xml:space="preserve"> </w:t>
      </w:r>
      <w:r w:rsidRPr="005D059A">
        <w:t xml:space="preserve">If muscle imbalances created the deformity, persistence of the muscle imbalances will </w:t>
      </w:r>
      <w:r>
        <w:t>r</w:t>
      </w:r>
      <w:r w:rsidRPr="005D059A">
        <w:t>ecreate the deformity, despite adequate deformity correction.</w:t>
      </w:r>
    </w:p>
    <w:p w:rsidR="005D059A" w:rsidRDefault="005D059A" w:rsidP="005D059A">
      <w:pPr>
        <w:spacing w:line="360" w:lineRule="auto"/>
        <w:ind w:left="720" w:hanging="720"/>
      </w:pPr>
      <w:r w:rsidRPr="0074106D">
        <w:rPr>
          <w:u w:val="single"/>
        </w:rPr>
        <w:t>Biomechanics #5</w:t>
      </w:r>
      <w:r>
        <w:t>:</w:t>
      </w:r>
      <w:r>
        <w:tab/>
      </w:r>
      <w:r w:rsidRPr="005D059A">
        <w:t>Tendon transfers will not</w:t>
      </w:r>
      <w:r>
        <w:t xml:space="preserve"> correct structural deformities, b</w:t>
      </w:r>
      <w:r w:rsidRPr="005D059A">
        <w:t>ut will correct dynamic deformity</w:t>
      </w:r>
      <w:r>
        <w:t>, w</w:t>
      </w:r>
      <w:r w:rsidRPr="005D059A">
        <w:t>ill likely prevent or delay structural deformity</w:t>
      </w:r>
      <w:r>
        <w:t>, a</w:t>
      </w:r>
      <w:r w:rsidRPr="005D059A">
        <w:t>nd the balanced muscles will maintain deformity correction, except perhaps in progressive neuromuscular disorders</w:t>
      </w:r>
      <w:r>
        <w:t>.</w:t>
      </w:r>
    </w:p>
    <w:p w:rsidR="005D059A" w:rsidRPr="005D059A" w:rsidRDefault="005D059A" w:rsidP="005D059A">
      <w:pPr>
        <w:spacing w:line="360" w:lineRule="auto"/>
        <w:ind w:left="720" w:hanging="720"/>
      </w:pPr>
      <w:r w:rsidRPr="0074106D">
        <w:rPr>
          <w:u w:val="single"/>
        </w:rPr>
        <w:t>Biomechanics #4/5</w:t>
      </w:r>
      <w:r>
        <w:t>:</w:t>
      </w:r>
      <w:r>
        <w:tab/>
      </w:r>
      <w:r w:rsidRPr="005D059A">
        <w:t>Correct deformities AND balance muscle forces.</w:t>
      </w:r>
      <w:r>
        <w:t xml:space="preserve"> </w:t>
      </w:r>
      <w:r w:rsidRPr="005D059A">
        <w:t xml:space="preserve">Deformity </w:t>
      </w:r>
      <w:r>
        <w:t>c</w:t>
      </w:r>
      <w:r w:rsidRPr="005D059A">
        <w:t>orrection without muscle balancing</w:t>
      </w:r>
      <w:r>
        <w:t xml:space="preserve"> </w:t>
      </w:r>
      <w:r w:rsidRPr="005D059A">
        <w:t>- risk of recurrent deformity.</w:t>
      </w:r>
      <w:r>
        <w:t xml:space="preserve"> </w:t>
      </w:r>
      <w:r w:rsidRPr="005D059A">
        <w:t xml:space="preserve">Muscle </w:t>
      </w:r>
      <w:r>
        <w:t>b</w:t>
      </w:r>
      <w:r w:rsidRPr="005D059A">
        <w:t>alancing without deformity correction</w:t>
      </w:r>
      <w:r>
        <w:t xml:space="preserve"> </w:t>
      </w:r>
      <w:r w:rsidRPr="005D059A">
        <w:t>- well balanced deformity!</w:t>
      </w:r>
    </w:p>
    <w:p w:rsidR="005D059A" w:rsidRDefault="005D059A" w:rsidP="005D059A">
      <w:pPr>
        <w:spacing w:line="360" w:lineRule="auto"/>
        <w:ind w:left="720" w:hanging="720"/>
      </w:pPr>
      <w:r w:rsidRPr="0074106D">
        <w:rPr>
          <w:u w:val="single"/>
        </w:rPr>
        <w:t>Biomechanics #6</w:t>
      </w:r>
      <w:r>
        <w:t>:</w:t>
      </w:r>
      <w:r>
        <w:tab/>
      </w:r>
      <w:r w:rsidRPr="005D059A">
        <w:t>A thorough and working knowledge of the BIOMECHANICS</w:t>
      </w:r>
      <w:r>
        <w:t xml:space="preserve"> </w:t>
      </w:r>
      <w:r w:rsidRPr="005D059A">
        <w:t xml:space="preserve">of the foot and of the subtalar joint complex (in particular) during walking, is mandatory for accurate assessment and management of foot deformities in </w:t>
      </w:r>
      <w:r>
        <w:t>c</w:t>
      </w:r>
      <w:r w:rsidRPr="005D059A">
        <w:t>hildren.</w:t>
      </w:r>
    </w:p>
    <w:p w:rsidR="00855091" w:rsidRDefault="005D059A" w:rsidP="005D059A">
      <w:pPr>
        <w:spacing w:line="360" w:lineRule="auto"/>
        <w:ind w:left="720" w:hanging="720"/>
      </w:pPr>
      <w:r w:rsidRPr="0074106D">
        <w:rPr>
          <w:u w:val="single"/>
        </w:rPr>
        <w:t>Biomechanics #7:</w:t>
      </w:r>
      <w:r>
        <w:tab/>
      </w:r>
      <w:r w:rsidRPr="005D059A">
        <w:t>Preserve joint motion (particularly subtalar joint motion) by utilizing soft tissue releases/plications and osteotomies instead of arthrodeses.</w:t>
      </w:r>
    </w:p>
    <w:p w:rsidR="005D059A" w:rsidRDefault="005D059A" w:rsidP="005D059A">
      <w:pPr>
        <w:spacing w:line="360" w:lineRule="auto"/>
        <w:ind w:left="720" w:hanging="720"/>
      </w:pPr>
      <w:bookmarkStart w:id="0" w:name="_GoBack"/>
      <w:bookmarkEnd w:id="0"/>
      <w:r w:rsidRPr="0074106D">
        <w:rPr>
          <w:u w:val="single"/>
        </w:rPr>
        <w:lastRenderedPageBreak/>
        <w:t>Assessment Principle #1</w:t>
      </w:r>
      <w:r w:rsidR="00BE4A6D">
        <w:t>:</w:t>
      </w:r>
      <w:r w:rsidR="00BE4A6D">
        <w:tab/>
        <w:t>C</w:t>
      </w:r>
      <w:r w:rsidRPr="005D059A">
        <w:t>linical evaluation of the child’s foot begins with a</w:t>
      </w:r>
      <w:r w:rsidR="00BE4A6D">
        <w:t xml:space="preserve"> </w:t>
      </w:r>
      <w:r w:rsidRPr="005D059A">
        <w:t>clinical evaluation of the child.</w:t>
      </w:r>
    </w:p>
    <w:p w:rsidR="0074106D" w:rsidRDefault="0074106D" w:rsidP="0074106D">
      <w:pPr>
        <w:spacing w:line="360" w:lineRule="auto"/>
        <w:ind w:left="720" w:hanging="720"/>
      </w:pPr>
      <w:r w:rsidRPr="0074106D">
        <w:rPr>
          <w:u w:val="single"/>
        </w:rPr>
        <w:t>Assessment Principle #2</w:t>
      </w:r>
      <w:r>
        <w:t>:</w:t>
      </w:r>
      <w:r>
        <w:tab/>
      </w:r>
      <w:r w:rsidRPr="0074106D">
        <w:t xml:space="preserve">Physical evaluation of the child’s foot begins with a </w:t>
      </w:r>
      <w:r>
        <w:t>p</w:t>
      </w:r>
      <w:r w:rsidRPr="0074106D">
        <w:t>h</w:t>
      </w:r>
      <w:r>
        <w:t>ysical evaluation of the child</w:t>
      </w:r>
      <w:r w:rsidRPr="0074106D">
        <w:t>.</w:t>
      </w:r>
    </w:p>
    <w:p w:rsidR="0074106D" w:rsidRPr="0074106D" w:rsidRDefault="0074106D" w:rsidP="0074106D">
      <w:pPr>
        <w:spacing w:line="360" w:lineRule="auto"/>
        <w:ind w:left="720" w:hanging="720"/>
      </w:pPr>
      <w:r w:rsidRPr="0074106D">
        <w:rPr>
          <w:u w:val="single"/>
        </w:rPr>
        <w:t>Assessment Principle #3</w:t>
      </w:r>
      <w:r>
        <w:t>:</w:t>
      </w:r>
      <w:r>
        <w:tab/>
      </w:r>
      <w:r w:rsidRPr="0074106D">
        <w:t>If pain is a complaint, ask the child to point to</w:t>
      </w:r>
      <w:r>
        <w:t xml:space="preserve"> </w:t>
      </w:r>
      <w:r w:rsidRPr="0074106D">
        <w:t xml:space="preserve">the exact location(s). </w:t>
      </w:r>
    </w:p>
    <w:p w:rsidR="0074106D" w:rsidRPr="0074106D" w:rsidRDefault="0074106D" w:rsidP="0074106D">
      <w:pPr>
        <w:spacing w:line="360" w:lineRule="auto"/>
        <w:ind w:left="720" w:hanging="720"/>
      </w:pPr>
      <w:r w:rsidRPr="0074106D">
        <w:rPr>
          <w:u w:val="single"/>
        </w:rPr>
        <w:t>Assessment Principle #4</w:t>
      </w:r>
      <w:r>
        <w:t>:</w:t>
      </w:r>
      <w:r>
        <w:tab/>
      </w:r>
      <w:r w:rsidRPr="0074106D">
        <w:t>Signs and symptoms must match the presumed pathology, so ensure that you have enough information before focusing on a radiographic finding.</w:t>
      </w:r>
    </w:p>
    <w:p w:rsidR="00104DCF" w:rsidRPr="00104DCF" w:rsidRDefault="00104DCF" w:rsidP="00104DCF">
      <w:pPr>
        <w:spacing w:line="360" w:lineRule="auto"/>
        <w:ind w:left="720" w:hanging="720"/>
      </w:pPr>
      <w:r w:rsidRPr="00104DCF">
        <w:rPr>
          <w:u w:val="single"/>
        </w:rPr>
        <w:t>Assessment Principle #5</w:t>
      </w:r>
      <w:r>
        <w:t>:</w:t>
      </w:r>
      <w:r>
        <w:tab/>
      </w:r>
      <w:r w:rsidRPr="00104DCF">
        <w:t>Assessment of each of the segmental deformities of the foot and ankle is imperative before planning treatment.</w:t>
      </w:r>
    </w:p>
    <w:p w:rsidR="00104DCF" w:rsidRPr="00104DCF" w:rsidRDefault="00104DCF" w:rsidP="00104DCF">
      <w:pPr>
        <w:spacing w:line="360" w:lineRule="auto"/>
        <w:ind w:left="720" w:hanging="720"/>
      </w:pPr>
      <w:r w:rsidRPr="00104DCF">
        <w:rPr>
          <w:u w:val="single"/>
        </w:rPr>
        <w:t>Assessment Principle #6</w:t>
      </w:r>
      <w:r>
        <w:t>:</w:t>
      </w:r>
      <w:r>
        <w:tab/>
      </w:r>
      <w:r w:rsidRPr="00104DCF">
        <w:t xml:space="preserve">Each segment of the foot should be evaluated for </w:t>
      </w:r>
      <w:r>
        <w:t>s</w:t>
      </w:r>
      <w:r w:rsidRPr="00104DCF">
        <w:t>hape/deformity, flexibility, skin integrity. Be specific!</w:t>
      </w:r>
    </w:p>
    <w:p w:rsidR="00104DCF" w:rsidRPr="00104DCF" w:rsidRDefault="00104DCF" w:rsidP="00104DCF">
      <w:pPr>
        <w:spacing w:line="360" w:lineRule="auto"/>
        <w:ind w:left="720" w:hanging="720"/>
      </w:pPr>
      <w:r w:rsidRPr="00104DCF">
        <w:rPr>
          <w:u w:val="single"/>
        </w:rPr>
        <w:t>Assessment Principle #7</w:t>
      </w:r>
      <w:r>
        <w:t>:</w:t>
      </w:r>
      <w:r>
        <w:tab/>
      </w:r>
      <w:r w:rsidRPr="00104DCF">
        <w:t>The presence of a gastrocnemius or an Achilles contracture must be identified and differentiated from each other.</w:t>
      </w:r>
    </w:p>
    <w:p w:rsidR="00104DCF" w:rsidRPr="00104DCF" w:rsidRDefault="00104DCF" w:rsidP="00104DCF">
      <w:pPr>
        <w:spacing w:line="360" w:lineRule="auto"/>
        <w:ind w:left="720" w:hanging="720"/>
      </w:pPr>
      <w:r w:rsidRPr="00104DCF">
        <w:rPr>
          <w:u w:val="single"/>
        </w:rPr>
        <w:t>Assessment Principle #8</w:t>
      </w:r>
      <w:r>
        <w:t>:</w:t>
      </w:r>
      <w:r>
        <w:tab/>
      </w:r>
      <w:r w:rsidRPr="00104DCF">
        <w:t xml:space="preserve">The foot must be clinically assessed in weight-bearing, </w:t>
      </w:r>
    </w:p>
    <w:p w:rsidR="00104DCF" w:rsidRPr="00104DCF" w:rsidRDefault="00104DCF" w:rsidP="00104DCF">
      <w:pPr>
        <w:spacing w:line="360" w:lineRule="auto"/>
        <w:ind w:left="720"/>
      </w:pPr>
      <w:proofErr w:type="gramStart"/>
      <w:r w:rsidRPr="00104DCF">
        <w:t>not</w:t>
      </w:r>
      <w:proofErr w:type="gramEnd"/>
      <w:r w:rsidRPr="00104DCF">
        <w:t xml:space="preserve"> just on the exam table.</w:t>
      </w:r>
    </w:p>
    <w:p w:rsidR="00104DCF" w:rsidRPr="00104DCF" w:rsidRDefault="00104DCF" w:rsidP="00104DCF">
      <w:pPr>
        <w:spacing w:line="360" w:lineRule="auto"/>
        <w:ind w:left="720" w:hanging="720"/>
      </w:pPr>
      <w:r w:rsidRPr="00104DCF">
        <w:rPr>
          <w:u w:val="single"/>
        </w:rPr>
        <w:t>Assessment Principle #9</w:t>
      </w:r>
      <w:r>
        <w:t>:</w:t>
      </w:r>
      <w:r>
        <w:tab/>
      </w:r>
      <w:r w:rsidRPr="00104DCF">
        <w:t xml:space="preserve">All standard initial and screening radiographs for </w:t>
      </w:r>
      <w:r>
        <w:t>a</w:t>
      </w:r>
      <w:r w:rsidRPr="00104DCF">
        <w:t>ssessment of foot deformities should be obtained in weight-bearing, or simulated weight-bearing</w:t>
      </w:r>
      <w:r>
        <w:t>.</w:t>
      </w:r>
    </w:p>
    <w:p w:rsidR="00104DCF" w:rsidRPr="00104DCF" w:rsidRDefault="00104DCF" w:rsidP="00104DCF">
      <w:pPr>
        <w:spacing w:line="360" w:lineRule="auto"/>
        <w:ind w:left="720" w:hanging="720"/>
      </w:pPr>
      <w:r w:rsidRPr="00104DCF">
        <w:rPr>
          <w:u w:val="single"/>
        </w:rPr>
        <w:t>Assessment Principle #10</w:t>
      </w:r>
      <w:r>
        <w:t>:</w:t>
      </w:r>
      <w:r>
        <w:tab/>
      </w:r>
      <w:r w:rsidRPr="00104DCF">
        <w:t>The foot-CORA method should be used pre-, intra-, and postoperatively for the most objective evaluation of foot deformities and malformations</w:t>
      </w:r>
      <w:r>
        <w:t>.</w:t>
      </w:r>
    </w:p>
    <w:p w:rsidR="00104DCF" w:rsidRDefault="00104DCF" w:rsidP="00104DCF">
      <w:pPr>
        <w:spacing w:line="360" w:lineRule="auto"/>
        <w:ind w:left="720" w:hanging="720"/>
      </w:pPr>
      <w:r w:rsidRPr="00104DCF">
        <w:rPr>
          <w:u w:val="single"/>
        </w:rPr>
        <w:t>Assessment Principle #11</w:t>
      </w:r>
      <w:r>
        <w:t>:</w:t>
      </w:r>
      <w:r>
        <w:tab/>
      </w:r>
      <w:r w:rsidRPr="00104DCF">
        <w:t>CT scan in all 3 planes &amp; with 3-D reconstruction is the best imaging modality for more detailed assessment of complex foot deformities and malformations. It is the definitive imaging study for the diagnosis and management of tarsal coalitions.</w:t>
      </w:r>
    </w:p>
    <w:p w:rsidR="00855091" w:rsidRPr="00855091" w:rsidRDefault="00855091" w:rsidP="00855091">
      <w:pPr>
        <w:spacing w:line="360" w:lineRule="auto"/>
        <w:ind w:left="720" w:hanging="720"/>
      </w:pPr>
      <w:r w:rsidRPr="00855091">
        <w:rPr>
          <w:u w:val="single"/>
        </w:rPr>
        <w:t>Assessment Principle #12</w:t>
      </w:r>
      <w:r>
        <w:t>:</w:t>
      </w:r>
      <w:r>
        <w:tab/>
      </w:r>
      <w:r w:rsidRPr="00855091">
        <w:t xml:space="preserve">MRI is rarely helpful or indicated for assessment of deformities and malformations, </w:t>
      </w:r>
    </w:p>
    <w:p w:rsidR="00855091" w:rsidRPr="00855091" w:rsidRDefault="00855091" w:rsidP="00855091">
      <w:pPr>
        <w:spacing w:line="360" w:lineRule="auto"/>
        <w:ind w:left="720" w:hanging="720"/>
      </w:pPr>
      <w:r w:rsidRPr="00855091">
        <w:rPr>
          <w:u w:val="single"/>
        </w:rPr>
        <w:t>Management Principle #1</w:t>
      </w:r>
      <w:r>
        <w:t>:</w:t>
      </w:r>
      <w:r>
        <w:tab/>
      </w:r>
      <w:r w:rsidRPr="00855091">
        <w:t xml:space="preserve">The decision (to operate) is more important than the incision (i.e. the surgical technique).  </w:t>
      </w:r>
    </w:p>
    <w:p w:rsidR="00855091" w:rsidRPr="00855091" w:rsidRDefault="00855091" w:rsidP="00855091">
      <w:pPr>
        <w:spacing w:line="360" w:lineRule="auto"/>
        <w:ind w:left="720" w:hanging="720"/>
      </w:pPr>
      <w:r w:rsidRPr="00855091">
        <w:rPr>
          <w:u w:val="single"/>
        </w:rPr>
        <w:lastRenderedPageBreak/>
        <w:t>Management Principle #2</w:t>
      </w:r>
      <w:r>
        <w:t>:</w:t>
      </w:r>
      <w:r>
        <w:tab/>
      </w:r>
      <w:r w:rsidRPr="00855091">
        <w:t xml:space="preserve">You can’t </w:t>
      </w:r>
      <w:proofErr w:type="gramStart"/>
      <w:r w:rsidRPr="00855091">
        <w:t>un-</w:t>
      </w:r>
      <w:proofErr w:type="gramEnd"/>
      <w:r w:rsidRPr="00855091">
        <w:t xml:space="preserve">operate on anyone. Foot deformities and malformations are never lethal. </w:t>
      </w:r>
    </w:p>
    <w:p w:rsidR="00855091" w:rsidRPr="00855091" w:rsidRDefault="00855091" w:rsidP="00855091">
      <w:pPr>
        <w:spacing w:line="360" w:lineRule="auto"/>
        <w:ind w:left="720" w:hanging="720"/>
      </w:pPr>
    </w:p>
    <w:p w:rsidR="005D059A" w:rsidRDefault="00855091" w:rsidP="00104DCF">
      <w:pPr>
        <w:spacing w:line="360" w:lineRule="auto"/>
      </w:pPr>
      <w:r>
        <w:t>REFERENCE:</w:t>
      </w:r>
    </w:p>
    <w:p w:rsidR="00855091" w:rsidRPr="00E45A44" w:rsidRDefault="00855091" w:rsidP="00104DCF">
      <w:pPr>
        <w:spacing w:line="360" w:lineRule="auto"/>
      </w:pPr>
      <w:r w:rsidRPr="00855091">
        <w:t>Mosca VS. Principles and management of pediatric foot and ankle deformities and malformations. Wolters Kluwer/Lippincott Williams &amp; Wilkins, 2014.</w:t>
      </w:r>
    </w:p>
    <w:sectPr w:rsidR="00855091" w:rsidRPr="00E45A44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6F" w:rsidRDefault="005A516F" w:rsidP="005A516F">
      <w:r>
        <w:separator/>
      </w:r>
    </w:p>
  </w:endnote>
  <w:endnote w:type="continuationSeparator" w:id="0">
    <w:p w:rsidR="005A516F" w:rsidRDefault="005A516F" w:rsidP="005A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6F" w:rsidRDefault="009738E0">
    <w:pPr>
      <w:pStyle w:val="Footer"/>
    </w:pPr>
    <w:r>
      <w:t xml:space="preserve">Biomechanics and assessment of the pediatric foot </w:t>
    </w:r>
    <w:r w:rsidR="005A516F">
      <w:t xml:space="preserve">– </w:t>
    </w:r>
    <w:r>
      <w:t>Hawaii</w:t>
    </w:r>
    <w:r w:rsidR="005A516F">
      <w:t xml:space="preserve"> 2019 - Mosca</w:t>
    </w:r>
  </w:p>
  <w:p w:rsidR="005A516F" w:rsidRDefault="005A5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6F" w:rsidRDefault="005A516F" w:rsidP="005A516F">
      <w:r>
        <w:separator/>
      </w:r>
    </w:p>
  </w:footnote>
  <w:footnote w:type="continuationSeparator" w:id="0">
    <w:p w:rsidR="005A516F" w:rsidRDefault="005A516F" w:rsidP="005A5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47B81"/>
    <w:multiLevelType w:val="hybridMultilevel"/>
    <w:tmpl w:val="9AD2F43A"/>
    <w:lvl w:ilvl="0" w:tplc="19B80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03D6F"/>
    <w:multiLevelType w:val="hybridMultilevel"/>
    <w:tmpl w:val="A7AC1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6BF2"/>
    <w:rsid w:val="00036E68"/>
    <w:rsid w:val="000853AB"/>
    <w:rsid w:val="000D2297"/>
    <w:rsid w:val="00103222"/>
    <w:rsid w:val="00104DCF"/>
    <w:rsid w:val="005504E9"/>
    <w:rsid w:val="005A516F"/>
    <w:rsid w:val="005D059A"/>
    <w:rsid w:val="0074106D"/>
    <w:rsid w:val="007E7297"/>
    <w:rsid w:val="008142D2"/>
    <w:rsid w:val="008255B4"/>
    <w:rsid w:val="00855091"/>
    <w:rsid w:val="00874C90"/>
    <w:rsid w:val="00946938"/>
    <w:rsid w:val="009738E0"/>
    <w:rsid w:val="009C5C5D"/>
    <w:rsid w:val="00B31A87"/>
    <w:rsid w:val="00BD1E87"/>
    <w:rsid w:val="00BE4A6D"/>
    <w:rsid w:val="00C4591D"/>
    <w:rsid w:val="00C547B6"/>
    <w:rsid w:val="00C7257E"/>
    <w:rsid w:val="00D21BA6"/>
    <w:rsid w:val="00E45A44"/>
    <w:rsid w:val="00F9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B0B5A26"/>
  <w15:docId w15:val="{83FA2AD9-FA0E-4203-9CF1-3643B63E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BF2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BF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4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A5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51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1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vmosca</dc:creator>
  <cp:keywords/>
  <dc:description/>
  <cp:lastModifiedBy>Mosca, Vincent</cp:lastModifiedBy>
  <cp:revision>5</cp:revision>
  <cp:lastPrinted>2018-12-10T06:09:00Z</cp:lastPrinted>
  <dcterms:created xsi:type="dcterms:W3CDTF">2019-02-10T05:37:00Z</dcterms:created>
  <dcterms:modified xsi:type="dcterms:W3CDTF">2019-02-11T00:38:00Z</dcterms:modified>
</cp:coreProperties>
</file>