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2" w:rsidRDefault="004B0A62">
      <w:r w:rsidRPr="00196353">
        <w:rPr>
          <w:b/>
        </w:rPr>
        <w:t>Title:</w:t>
      </w:r>
      <w:r>
        <w:t xml:space="preserve">  </w:t>
      </w:r>
      <w:r w:rsidR="00862EB8" w:rsidRPr="00862EB8">
        <w:rPr>
          <w:i/>
        </w:rPr>
        <w:t>ACL Anatomy and Technique</w:t>
      </w:r>
    </w:p>
    <w:p w:rsidR="004B0A62" w:rsidRDefault="004B0A62">
      <w:r w:rsidRPr="00196353">
        <w:rPr>
          <w:b/>
        </w:rPr>
        <w:t>Speaker:</w:t>
      </w:r>
      <w:r>
        <w:t xml:space="preserve">  James Lubowitz, MD</w:t>
      </w:r>
    </w:p>
    <w:p w:rsidR="004B0A62" w:rsidRDefault="004B0A62"/>
    <w:p w:rsidR="00862EB8" w:rsidRDefault="00862EB8" w:rsidP="00862EB8">
      <w:pPr>
        <w:pStyle w:val="PlainText"/>
        <w:rPr>
          <w:sz w:val="22"/>
          <w:szCs w:val="22"/>
          <w:lang w:eastAsia="en-US"/>
        </w:rPr>
      </w:pPr>
      <w:r>
        <w:t xml:space="preserve">Arthroscopic landmarks can be used to identify the anatomic centrum of the ACL on the femur and tibia.  Quadriceps tendon graft is an emerging alternative to bone-patellar tendon-bone and hamstring autograft or allograft.  All-inside technique requires special tools and technical proficiency, and is anatomic, least invasive, bone sparing, and results in a stable knee.  Patients with anterolateral rotatory instability, </w:t>
      </w:r>
      <w:proofErr w:type="spellStart"/>
      <w:r>
        <w:t>hyperlaxity</w:t>
      </w:r>
      <w:proofErr w:type="spellEnd"/>
      <w:r>
        <w:t xml:space="preserve">, failed primary ACL, and high risk of </w:t>
      </w:r>
      <w:proofErr w:type="spellStart"/>
      <w:r>
        <w:t>reinjury</w:t>
      </w:r>
      <w:proofErr w:type="spellEnd"/>
      <w:r>
        <w:t xml:space="preserve"> may benefit from ACL reconstruction plus lateral extra-articular </w:t>
      </w:r>
      <w:proofErr w:type="spellStart"/>
      <w:r>
        <w:t>tenodesis</w:t>
      </w:r>
      <w:proofErr w:type="spellEnd"/>
      <w:r>
        <w:t xml:space="preserve">.  Patients with anteromedial rotatory instability, failed primary ACL, and grade III or </w:t>
      </w:r>
      <w:proofErr w:type="spellStart"/>
      <w:r>
        <w:t>tibial</w:t>
      </w:r>
      <w:proofErr w:type="spellEnd"/>
      <w:r>
        <w:t xml:space="preserve"> sided MCL and POL injury may benefit from posteromedial corner repair or reconstruction.</w:t>
      </w:r>
    </w:p>
    <w:p w:rsidR="004B0A62" w:rsidRDefault="004B0A62">
      <w:bookmarkStart w:id="0" w:name="_GoBack"/>
      <w:bookmarkEnd w:id="0"/>
    </w:p>
    <w:sectPr w:rsidR="004B0A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2"/>
    <w:rsid w:val="00196353"/>
    <w:rsid w:val="004B0A62"/>
    <w:rsid w:val="00862EB8"/>
    <w:rsid w:val="00E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6157B0-7F89-4389-9009-705B572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A62"/>
    <w:rPr>
      <w:rFonts w:ascii="Courier New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 Ryan</dc:creator>
  <cp:keywords/>
  <dc:description/>
  <cp:lastModifiedBy>Paul M Ryan</cp:lastModifiedBy>
  <cp:revision>2</cp:revision>
  <dcterms:created xsi:type="dcterms:W3CDTF">2019-02-19T21:37:00Z</dcterms:created>
  <dcterms:modified xsi:type="dcterms:W3CDTF">2019-02-19T21:37:00Z</dcterms:modified>
</cp:coreProperties>
</file>